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47574" w14:textId="727EA9BF" w:rsidR="00070F04" w:rsidRPr="00070F04" w:rsidRDefault="00D66E4D" w:rsidP="00070F04">
      <w:pPr>
        <w:jc w:val="right"/>
        <w:rPr>
          <w:rFonts w:ascii="Times New Roman" w:hAnsi="Times New Roman" w:cs="Times New Roman"/>
          <w:b w:val="0"/>
          <w:i/>
          <w:iCs/>
          <w:color w:val="auto"/>
          <w:szCs w:val="28"/>
          <w:lang w:val="kk-KZ"/>
        </w:rPr>
      </w:pPr>
      <w:r>
        <w:rPr>
          <w:rFonts w:ascii="Times New Roman" w:hAnsi="Times New Roman" w:cs="Times New Roman"/>
          <w:b w:val="0"/>
          <w:i/>
          <w:iCs/>
          <w:color w:val="auto"/>
          <w:szCs w:val="28"/>
          <w:lang w:val="kk-KZ"/>
        </w:rPr>
        <w:t>Р</w:t>
      </w:r>
      <w:r w:rsidR="00070F04" w:rsidRPr="00070F04">
        <w:rPr>
          <w:rFonts w:ascii="Times New Roman" w:hAnsi="Times New Roman" w:cs="Times New Roman"/>
          <w:b w:val="0"/>
          <w:i/>
          <w:iCs/>
          <w:color w:val="auto"/>
          <w:szCs w:val="28"/>
          <w:lang w:val="kk-KZ"/>
        </w:rPr>
        <w:t>азвити</w:t>
      </w:r>
      <w:r>
        <w:rPr>
          <w:rFonts w:ascii="Times New Roman" w:hAnsi="Times New Roman" w:cs="Times New Roman"/>
          <w:b w:val="0"/>
          <w:i/>
          <w:iCs/>
          <w:color w:val="auto"/>
          <w:szCs w:val="28"/>
          <w:lang w:val="kk-KZ"/>
        </w:rPr>
        <w:t>е</w:t>
      </w:r>
      <w:r w:rsidR="00070F04" w:rsidRPr="00070F04">
        <w:rPr>
          <w:rFonts w:ascii="Times New Roman" w:hAnsi="Times New Roman" w:cs="Times New Roman"/>
          <w:b w:val="0"/>
          <w:i/>
          <w:iCs/>
          <w:color w:val="auto"/>
          <w:szCs w:val="28"/>
          <w:lang w:val="kk-KZ"/>
        </w:rPr>
        <w:t xml:space="preserve"> экономик полицентров</w:t>
      </w:r>
    </w:p>
    <w:p w14:paraId="0EB8AD66" w14:textId="77777777" w:rsidR="00070F04" w:rsidRDefault="00070F04" w:rsidP="00070F04">
      <w:pPr>
        <w:jc w:val="both"/>
        <w:rPr>
          <w:rFonts w:ascii="Times New Roman" w:hAnsi="Times New Roman" w:cs="Times New Roman"/>
          <w:bCs/>
          <w:color w:val="auto"/>
          <w:szCs w:val="28"/>
          <w:lang w:val="kk-KZ"/>
        </w:rPr>
      </w:pPr>
    </w:p>
    <w:p w14:paraId="6B8A8D06" w14:textId="103662F1" w:rsidR="00070F04" w:rsidRDefault="00070F04" w:rsidP="00070F04">
      <w:pPr>
        <w:jc w:val="both"/>
        <w:rPr>
          <w:rFonts w:ascii="Times New Roman" w:hAnsi="Times New Roman" w:cs="Times New Roman"/>
          <w:bCs/>
          <w:color w:val="auto"/>
          <w:szCs w:val="28"/>
          <w:lang w:val="kk-KZ"/>
        </w:rPr>
      </w:pPr>
      <w:r>
        <w:rPr>
          <w:rFonts w:ascii="Times New Roman" w:hAnsi="Times New Roman" w:cs="Times New Roman"/>
          <w:bCs/>
          <w:color w:val="auto"/>
          <w:szCs w:val="28"/>
          <w:lang w:val="kk-KZ"/>
        </w:rPr>
        <w:t>В</w:t>
      </w:r>
      <w:r w:rsidRPr="00070F04">
        <w:rPr>
          <w:rFonts w:ascii="Times New Roman" w:hAnsi="Times New Roman" w:cs="Times New Roman"/>
          <w:bCs/>
          <w:color w:val="auto"/>
          <w:szCs w:val="28"/>
          <w:lang w:val="kk-KZ"/>
        </w:rPr>
        <w:t>ведение</w:t>
      </w:r>
    </w:p>
    <w:p w14:paraId="117E6E1A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Cs/>
          <w:color w:val="auto"/>
          <w:szCs w:val="28"/>
          <w:lang w:val="kk-KZ"/>
        </w:rPr>
      </w:pPr>
    </w:p>
    <w:tbl>
      <w:tblPr>
        <w:tblW w:w="9999" w:type="dxa"/>
        <w:tblInd w:w="4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99"/>
      </w:tblGrid>
      <w:tr w:rsidR="00070F04" w:rsidRPr="00070F04" w14:paraId="1BA5427A" w14:textId="77777777" w:rsidTr="00981F55">
        <w:trPr>
          <w:trHeight w:val="2481"/>
        </w:trPr>
        <w:tc>
          <w:tcPr>
            <w:tcW w:w="9999" w:type="dxa"/>
          </w:tcPr>
          <w:p w14:paraId="69848312" w14:textId="77777777" w:rsidR="00070F04" w:rsidRPr="00070F04" w:rsidRDefault="00070F04" w:rsidP="00070F04">
            <w:pPr>
              <w:jc w:val="both"/>
              <w:rPr>
                <w:rFonts w:ascii="Times New Roman" w:hAnsi="Times New Roman" w:cs="Times New Roman"/>
                <w:b w:val="0"/>
                <w:noProof/>
                <w:color w:val="auto"/>
                <w:szCs w:val="28"/>
              </w:rPr>
            </w:pPr>
            <w:r w:rsidRPr="00070F04">
              <w:rPr>
                <w:rFonts w:ascii="Times New Roman" w:hAnsi="Times New Roman" w:cs="Times New Roman"/>
                <w:b w:val="0"/>
                <w:noProof/>
                <w:color w:val="auto"/>
                <w:szCs w:val="28"/>
              </w:rPr>
              <w:t xml:space="preserve">Традиционный мегаполис с центральным деловым центром, окруженным кольцом снижающейся плотности населения, больше не является устойчивым. По мере того, как мы приближаемся к новому стандарту плотности городского населения, которым является город с населением более 10 - 15 миллионов человек, наиболее подходящие города будущего разрабатываются в соответствии с многоядерной, полицентричной моделью </w:t>
            </w:r>
            <w:r w:rsidRPr="00070F04">
              <w:rPr>
                <w:rFonts w:ascii="Times New Roman" w:hAnsi="Times New Roman" w:cs="Times New Roman"/>
                <w:b w:val="0"/>
                <w:i/>
                <w:iCs/>
                <w:noProof/>
                <w:color w:val="auto"/>
                <w:szCs w:val="28"/>
              </w:rPr>
              <w:t>(см. Рисунок 1).</w:t>
            </w:r>
          </w:p>
        </w:tc>
      </w:tr>
      <w:tr w:rsidR="00070F04" w:rsidRPr="00070F04" w14:paraId="042099AA" w14:textId="77777777" w:rsidTr="003F6A5B">
        <w:trPr>
          <w:trHeight w:val="1899"/>
        </w:trPr>
        <w:tc>
          <w:tcPr>
            <w:tcW w:w="9999" w:type="dxa"/>
            <w:shd w:val="clear" w:color="auto" w:fill="F2F2F2" w:themeFill="background1" w:themeFillShade="F2"/>
            <w:vAlign w:val="center"/>
          </w:tcPr>
          <w:p w14:paraId="2DF3FC3E" w14:textId="3223B722" w:rsidR="00070F04" w:rsidRPr="00070F04" w:rsidRDefault="00981F55" w:rsidP="00070F04">
            <w:pPr>
              <w:pStyle w:val="a9"/>
              <w:jc w:val="both"/>
              <w:rPr>
                <w:rFonts w:ascii="Times New Roman" w:hAnsi="Times New Roman" w:cs="Times New Roman"/>
                <w:noProof/>
                <w:color w:val="auto"/>
                <w:szCs w:val="28"/>
              </w:rPr>
            </w:pPr>
            <w:r w:rsidRPr="00070F04">
              <w:rPr>
                <w:rFonts w:ascii="Times New Roman" w:hAnsi="Times New Roman" w:cs="Times New Roman"/>
                <w:noProof/>
                <w:color w:val="auto"/>
                <w:szCs w:val="28"/>
                <w:lang w:bidi="ru-RU"/>
              </w:rPr>
              <mc:AlternateContent>
                <mc:Choice Requires="wps">
                  <w:drawing>
                    <wp:inline distT="0" distB="0" distL="0" distR="0" wp14:anchorId="1F355152" wp14:editId="5B7D7295">
                      <wp:extent cx="6219825" cy="1019175"/>
                      <wp:effectExtent l="0" t="0" r="0" b="0"/>
                      <wp:docPr id="7" name="Надпись 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19825" cy="1019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5C00245" w14:textId="77777777" w:rsidR="00981F55" w:rsidRPr="00070F04" w:rsidRDefault="00981F55" w:rsidP="00981F5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i/>
                                      <w:color w:val="auto"/>
                                      <w:sz w:val="22"/>
                                      <w:szCs w:val="18"/>
                                    </w:rPr>
                                  </w:pPr>
                                  <w:r w:rsidRPr="00070F04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i/>
                                      <w:color w:val="auto"/>
                                      <w:szCs w:val="28"/>
                                      <w:lang w:bidi="ru-RU"/>
                                    </w:rPr>
                                    <w:t xml:space="preserve">Что такое </w:t>
                                  </w:r>
                                  <w:r w:rsidRPr="00070F04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i/>
                                      <w:color w:val="auto"/>
                                      <w:szCs w:val="28"/>
                                      <w:lang w:val="kk-KZ" w:bidi="ru-RU"/>
                                    </w:rPr>
                                    <w:t>полицентричный</w:t>
                                  </w:r>
                                  <w:r w:rsidRPr="00070F04">
                                    <w:rPr>
                                      <w:rFonts w:ascii="Times New Roman" w:hAnsi="Times New Roman" w:cs="Times New Roman"/>
                                      <w:b w:val="0"/>
                                      <w:bCs/>
                                      <w:i/>
                                      <w:color w:val="auto"/>
                                      <w:szCs w:val="28"/>
                                      <w:lang w:bidi="ru-RU"/>
                                    </w:rPr>
                                    <w:t xml:space="preserve"> город? Как следует из названия, это город с несколькими центрами, обычно с иерархией центров, одним главным центром и несколькими субцентрами.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F3551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 7" o:spid="_x0000_s1026" type="#_x0000_t202" style="width:489.75pt;height:8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" filled="f" stroked="f" strokeweight=".5pt">
                      <v:textbox>
                        <w:txbxContent>
                          <w:p w14:paraId="05C00245" w14:textId="77777777" w:rsidR="00981F55" w:rsidRPr="00070F04" w:rsidRDefault="00981F55" w:rsidP="00981F5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color w:val="auto"/>
                                <w:sz w:val="22"/>
                                <w:szCs w:val="18"/>
                              </w:rPr>
                            </w:pPr>
                            <w:r w:rsidRPr="00070F04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color w:val="auto"/>
                                <w:szCs w:val="28"/>
                                <w:lang w:bidi="ru-RU"/>
                              </w:rPr>
                              <w:t xml:space="preserve">Что такое </w:t>
                            </w:r>
                            <w:r w:rsidRPr="00070F04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color w:val="auto"/>
                                <w:szCs w:val="28"/>
                                <w:lang w:val="kk-KZ" w:bidi="ru-RU"/>
                              </w:rPr>
                              <w:t>полицентричный</w:t>
                            </w:r>
                            <w:r w:rsidRPr="00070F04">
                              <w:rPr>
                                <w:rFonts w:ascii="Times New Roman" w:hAnsi="Times New Roman" w:cs="Times New Roman"/>
                                <w:b w:val="0"/>
                                <w:bCs/>
                                <w:i/>
                                <w:color w:val="auto"/>
                                <w:szCs w:val="28"/>
                                <w:lang w:bidi="ru-RU"/>
                              </w:rPr>
                              <w:t xml:space="preserve"> город? Как следует из названия, это город с несколькими центрами, обычно с иерархией центров, одним главным центром и несколькими субцентрами.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070F04" w:rsidRPr="00070F04" w14:paraId="09B21626" w14:textId="77777777" w:rsidTr="003F6A5B">
        <w:trPr>
          <w:trHeight w:val="5931"/>
        </w:trPr>
        <w:tc>
          <w:tcPr>
            <w:tcW w:w="9999" w:type="dxa"/>
          </w:tcPr>
          <w:p w14:paraId="71B3B8A4" w14:textId="77777777" w:rsidR="00070F04" w:rsidRPr="00070F04" w:rsidRDefault="00070F04" w:rsidP="00070F04">
            <w:pPr>
              <w:pStyle w:val="a9"/>
              <w:jc w:val="both"/>
              <w:rPr>
                <w:rFonts w:ascii="Times New Roman" w:hAnsi="Times New Roman" w:cs="Times New Roman"/>
                <w:i/>
                <w:noProof/>
                <w:color w:val="auto"/>
                <w:szCs w:val="28"/>
              </w:rPr>
            </w:pPr>
          </w:p>
          <w:p w14:paraId="16BF5A06" w14:textId="77777777" w:rsidR="00070F04" w:rsidRPr="00070F04" w:rsidRDefault="00070F04" w:rsidP="00070F04">
            <w:pPr>
              <w:pStyle w:val="a7"/>
              <w:keepNext/>
              <w:jc w:val="both"/>
              <w:rPr>
                <w:rFonts w:ascii="Times New Roman" w:hAnsi="Times New Roman" w:cs="Times New Roman"/>
                <w:color w:val="auto"/>
                <w:szCs w:val="28"/>
              </w:rPr>
            </w:pPr>
            <w:r w:rsidRPr="00070F04">
              <w:rPr>
                <w:rFonts w:ascii="Times New Roman" w:hAnsi="Times New Roman" w:cs="Times New Roman"/>
                <w:i/>
                <w:iCs/>
                <w:noProof/>
                <w:color w:val="auto"/>
                <w:szCs w:val="28"/>
              </w:rPr>
              <w:drawing>
                <wp:inline distT="0" distB="0" distL="0" distR="0" wp14:anchorId="4670642F" wp14:editId="60C03A1C">
                  <wp:extent cx="6251284" cy="3435366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14937" cy="3470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ED6821" w14:textId="77777777" w:rsidR="00070F04" w:rsidRPr="00070F04" w:rsidRDefault="00070F04" w:rsidP="00070F04">
            <w:pPr>
              <w:pStyle w:val="ab"/>
              <w:jc w:val="both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</w:pPr>
            <w:r w:rsidRPr="00070F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Рисунок </w:t>
            </w:r>
            <w:r w:rsidRPr="00070F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begin"/>
            </w:r>
            <w:r w:rsidRPr="00070F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instrText xml:space="preserve"> SEQ Рисунок \* ARABIC </w:instrText>
            </w:r>
            <w:r w:rsidRPr="00070F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fldChar w:fldCharType="separate"/>
            </w:r>
            <w:r w:rsidRPr="00070F0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t>1</w:t>
            </w:r>
            <w:r w:rsidRPr="00070F04"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</w:rPr>
              <w:fldChar w:fldCharType="end"/>
            </w:r>
            <w:r w:rsidRPr="00070F0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Структура городов</w:t>
            </w:r>
          </w:p>
          <w:p w14:paraId="3FC08C8F" w14:textId="77777777" w:rsidR="00070F04" w:rsidRPr="00070F04" w:rsidRDefault="00070F04" w:rsidP="00070F04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auto"/>
                <w:szCs w:val="28"/>
              </w:rPr>
            </w:pPr>
            <w:r w:rsidRPr="00070F04">
              <w:rPr>
                <w:rFonts w:ascii="Times New Roman" w:hAnsi="Times New Roman" w:cs="Times New Roman"/>
                <w:noProof/>
                <w:color w:val="auto"/>
                <w:szCs w:val="28"/>
              </w:rPr>
              <w:t>Концепция полицентричных городов предоставляет лучшие возможности для создания устойчивого будущего для миллионов людей, переезжающих в города в ближайшие десятилетия. Они должны быть построены на основе хорошо спланированной транспортной инфраструктуры, обширных общественных пространств и многофункциональных комплексов для работы, жилья и отдыха.</w:t>
            </w:r>
          </w:p>
          <w:p w14:paraId="58DD2A3B" w14:textId="77777777" w:rsidR="00070F04" w:rsidRPr="00070F04" w:rsidRDefault="00070F04" w:rsidP="00070F04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auto"/>
                <w:szCs w:val="28"/>
              </w:rPr>
            </w:pPr>
          </w:p>
          <w:p w14:paraId="37AA02EF" w14:textId="77777777" w:rsidR="00070F04" w:rsidRPr="00070F04" w:rsidRDefault="00070F04" w:rsidP="00070F04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auto"/>
                <w:szCs w:val="28"/>
              </w:rPr>
            </w:pPr>
            <w:r w:rsidRPr="00070F04">
              <w:rPr>
                <w:rFonts w:ascii="Times New Roman" w:hAnsi="Times New Roman" w:cs="Times New Roman"/>
                <w:noProof/>
                <w:color w:val="auto"/>
                <w:szCs w:val="28"/>
              </w:rPr>
              <w:lastRenderedPageBreak/>
              <w:t>Эта концепция не нова. Например, центральная часть Нью-Йорка, Даунтаун, возникла на волне различных застроек, прежде чем включить в себя соседние районы, такие как Бронкс, Квинс, Бруклин и Стейтен-Айленд. Лондон с самого начала своего существования был практически мультицентричным. Однако сегодня мы видим, что центр тяжести новых городских кластеров в этих городах меняется. В то же время города, построенные по модели центрального делового района, такие как Торонто и Гонконг, начинают становиться полицентричными, поскольку плотность населения смещается за пределы устоявшихся центров.</w:t>
            </w:r>
          </w:p>
          <w:p w14:paraId="103F5B13" w14:textId="77777777" w:rsidR="00070F04" w:rsidRPr="00070F04" w:rsidRDefault="00070F04" w:rsidP="00070F04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auto"/>
                <w:szCs w:val="28"/>
              </w:rPr>
            </w:pPr>
          </w:p>
          <w:p w14:paraId="6995AFFB" w14:textId="77CB481F" w:rsidR="00070F04" w:rsidRPr="00070F04" w:rsidRDefault="00070F04" w:rsidP="00070F04">
            <w:pPr>
              <w:jc w:val="both"/>
              <w:rPr>
                <w:rFonts w:ascii="Times New Roman" w:hAnsi="Times New Roman" w:cs="Times New Roman"/>
                <w:bCs/>
                <w:color w:val="auto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8"/>
                <w:lang w:val="kk-KZ"/>
              </w:rPr>
              <w:t>П</w:t>
            </w:r>
            <w:r w:rsidRPr="00070F04">
              <w:rPr>
                <w:rFonts w:ascii="Times New Roman" w:hAnsi="Times New Roman" w:cs="Times New Roman"/>
                <w:bCs/>
                <w:color w:val="auto"/>
                <w:szCs w:val="28"/>
                <w:lang w:val="kk-KZ"/>
              </w:rPr>
              <w:t>ричина концентрации городов</w:t>
            </w:r>
          </w:p>
          <w:p w14:paraId="2E8D2659" w14:textId="77777777" w:rsidR="00070F04" w:rsidRPr="00070F04" w:rsidRDefault="00070F04" w:rsidP="00070F04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Cs w:val="28"/>
                <w:lang w:val="kk-KZ"/>
              </w:rPr>
            </w:pPr>
          </w:p>
          <w:p w14:paraId="7804E8F7" w14:textId="77777777" w:rsidR="00070F04" w:rsidRPr="00070F04" w:rsidRDefault="00070F04" w:rsidP="00070F04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auto"/>
                <w:szCs w:val="28"/>
              </w:rPr>
            </w:pPr>
            <w:r w:rsidRPr="00070F04">
              <w:rPr>
                <w:rFonts w:ascii="Times New Roman" w:hAnsi="Times New Roman" w:cs="Times New Roman"/>
                <w:noProof/>
                <w:color w:val="auto"/>
                <w:szCs w:val="28"/>
              </w:rPr>
              <w:t xml:space="preserve">Экономисты выделяют два типа объяснений для такой концентрации: </w:t>
            </w:r>
            <w:r w:rsidRPr="00070F04">
              <w:rPr>
                <w:rFonts w:ascii="Times New Roman" w:hAnsi="Times New Roman" w:cs="Times New Roman"/>
                <w:i/>
                <w:iCs/>
                <w:noProof/>
                <w:color w:val="auto"/>
                <w:szCs w:val="28"/>
              </w:rPr>
              <w:t>"География первой природы"</w:t>
            </w:r>
            <w:r w:rsidRPr="00070F04">
              <w:rPr>
                <w:rFonts w:ascii="Times New Roman" w:hAnsi="Times New Roman" w:cs="Times New Roman"/>
                <w:noProof/>
                <w:color w:val="auto"/>
                <w:szCs w:val="28"/>
              </w:rPr>
              <w:t xml:space="preserve"> (</w:t>
            </w:r>
            <w:r w:rsidRPr="00070F04">
              <w:rPr>
                <w:rFonts w:ascii="Times New Roman" w:hAnsi="Times New Roman" w:cs="Times New Roman"/>
                <w:noProof/>
                <w:color w:val="auto"/>
                <w:szCs w:val="28"/>
                <w:lang w:val="kk-KZ"/>
              </w:rPr>
              <w:t xml:space="preserve">англ. </w:t>
            </w:r>
            <w:r w:rsidRPr="00070F04">
              <w:rPr>
                <w:rFonts w:ascii="Times New Roman" w:hAnsi="Times New Roman" w:cs="Times New Roman"/>
                <w:noProof/>
                <w:color w:val="auto"/>
                <w:szCs w:val="28"/>
                <w:lang w:val="en-US"/>
              </w:rPr>
              <w:t>fi</w:t>
            </w:r>
            <w:r w:rsidRPr="00070F04">
              <w:rPr>
                <w:rFonts w:ascii="Times New Roman" w:hAnsi="Times New Roman" w:cs="Times New Roman"/>
                <w:noProof/>
                <w:color w:val="auto"/>
                <w:szCs w:val="28"/>
              </w:rPr>
              <w:t xml:space="preserve">rst-nature geography) и </w:t>
            </w:r>
            <w:r w:rsidRPr="00070F04">
              <w:rPr>
                <w:rFonts w:ascii="Times New Roman" w:hAnsi="Times New Roman" w:cs="Times New Roman"/>
                <w:i/>
                <w:iCs/>
                <w:noProof/>
                <w:color w:val="auto"/>
                <w:szCs w:val="28"/>
              </w:rPr>
              <w:t>"география второй природы"</w:t>
            </w:r>
            <w:r w:rsidRPr="00070F04">
              <w:rPr>
                <w:rFonts w:ascii="Times New Roman" w:hAnsi="Times New Roman" w:cs="Times New Roman"/>
                <w:i/>
                <w:iCs/>
                <w:noProof/>
                <w:color w:val="auto"/>
                <w:szCs w:val="28"/>
                <w:lang w:val="kk-KZ"/>
              </w:rPr>
              <w:t xml:space="preserve"> </w:t>
            </w:r>
            <w:r w:rsidRPr="00070F04">
              <w:rPr>
                <w:rFonts w:ascii="Times New Roman" w:hAnsi="Times New Roman" w:cs="Times New Roman"/>
                <w:noProof/>
                <w:color w:val="auto"/>
                <w:szCs w:val="28"/>
              </w:rPr>
              <w:t xml:space="preserve">(англ. second-nature geography). Первая, естественная география, основана на экзогенных природных преимуществах или местоположении, таких как доступ к природным водоемам или близость к глубоководным естественным портам. </w:t>
            </w:r>
            <w:r w:rsidRPr="00070F04">
              <w:rPr>
                <w:rFonts w:ascii="Times New Roman" w:hAnsi="Times New Roman" w:cs="Times New Roman"/>
                <w:i/>
                <w:iCs/>
                <w:noProof/>
                <w:color w:val="auto"/>
                <w:szCs w:val="28"/>
              </w:rPr>
              <w:t>География второй</w:t>
            </w:r>
            <w:r w:rsidRPr="00070F04">
              <w:rPr>
                <w:rFonts w:ascii="Times New Roman" w:hAnsi="Times New Roman" w:cs="Times New Roman"/>
                <w:noProof/>
                <w:color w:val="auto"/>
                <w:szCs w:val="28"/>
              </w:rPr>
              <w:t xml:space="preserve"> природы соответствует расположению хозяйствующих субъектов относительно друг друга в географическом пространстве. Согласно этому второму типу объяснения, люди и компании предпочитают размещаться вместе, чтобы снизить затраты на транспортировку товаров, людей и идей, даже если внешние преимущества отсутствуют или ограничены. С точки зрения географии второй природы, концентрация экономической активности в городе отражает автономный сплоченный процесс, в ходе которого решения агентов о размещении взаимно усиливаются.</w:t>
            </w:r>
          </w:p>
          <w:p w14:paraId="6F6A3441" w14:textId="77777777" w:rsidR="00070F04" w:rsidRPr="00070F04" w:rsidRDefault="00070F04" w:rsidP="00070F04">
            <w:pPr>
              <w:pStyle w:val="a7"/>
              <w:jc w:val="both"/>
              <w:rPr>
                <w:rFonts w:ascii="Times New Roman" w:hAnsi="Times New Roman" w:cs="Times New Roman"/>
                <w:noProof/>
                <w:color w:val="auto"/>
                <w:szCs w:val="28"/>
              </w:rPr>
            </w:pPr>
          </w:p>
          <w:p w14:paraId="58638A70" w14:textId="6A96939C" w:rsidR="00070F04" w:rsidRPr="00070F04" w:rsidRDefault="006425AA" w:rsidP="00070F04">
            <w:pPr>
              <w:jc w:val="both"/>
              <w:rPr>
                <w:rFonts w:ascii="Times New Roman" w:hAnsi="Times New Roman" w:cs="Times New Roman"/>
                <w:bCs/>
                <w:color w:val="auto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auto"/>
                <w:szCs w:val="28"/>
                <w:lang w:val="kk-KZ"/>
              </w:rPr>
              <w:t>Ф</w:t>
            </w:r>
            <w:r w:rsidRPr="00070F04">
              <w:rPr>
                <w:rFonts w:ascii="Times New Roman" w:hAnsi="Times New Roman" w:cs="Times New Roman"/>
                <w:bCs/>
                <w:color w:val="auto"/>
                <w:szCs w:val="28"/>
                <w:lang w:val="kk-KZ"/>
              </w:rPr>
              <w:t>акторы, влияющие на организацию экономической деятельности в полицентрах</w:t>
            </w:r>
          </w:p>
          <w:p w14:paraId="7DC2C905" w14:textId="77777777" w:rsidR="00070F04" w:rsidRPr="00070F04" w:rsidRDefault="00070F04" w:rsidP="00070F04">
            <w:pPr>
              <w:jc w:val="both"/>
              <w:rPr>
                <w:rFonts w:ascii="Times New Roman" w:hAnsi="Times New Roman" w:cs="Times New Roman"/>
                <w:bCs/>
                <w:color w:val="auto"/>
                <w:szCs w:val="28"/>
                <w:lang w:val="kk-KZ"/>
              </w:rPr>
            </w:pPr>
          </w:p>
          <w:p w14:paraId="34A6B8F5" w14:textId="77777777" w:rsidR="00070F04" w:rsidRPr="00070F04" w:rsidRDefault="00070F04" w:rsidP="00070F04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Cs w:val="28"/>
                <w:lang w:val="kk-KZ"/>
              </w:rPr>
            </w:pPr>
            <w:r w:rsidRPr="00070F04">
              <w:rPr>
                <w:rFonts w:ascii="Times New Roman" w:hAnsi="Times New Roman" w:cs="Times New Roman"/>
                <w:b w:val="0"/>
                <w:bCs/>
                <w:color w:val="auto"/>
                <w:szCs w:val="28"/>
                <w:lang w:val="kk-KZ"/>
              </w:rPr>
              <w:t>По данным экономистов, существует несколько факторов, которые влияют на организацию экономической деятельности в полицентрах. Ниже приведены примеры и теоретическое объяснение причин влияния этих факторов.</w:t>
            </w:r>
          </w:p>
          <w:p w14:paraId="7B125775" w14:textId="77777777" w:rsidR="00070F04" w:rsidRPr="00070F04" w:rsidRDefault="00070F04" w:rsidP="00070F04">
            <w:pPr>
              <w:jc w:val="both"/>
              <w:rPr>
                <w:rFonts w:ascii="Times New Roman" w:hAnsi="Times New Roman" w:cs="Times New Roman"/>
                <w:b w:val="0"/>
                <w:bCs/>
                <w:color w:val="auto"/>
                <w:szCs w:val="28"/>
                <w:lang w:val="kk-KZ"/>
              </w:rPr>
            </w:pPr>
          </w:p>
        </w:tc>
      </w:tr>
    </w:tbl>
    <w:p w14:paraId="10085FFD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i/>
          <w:i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i/>
          <w:iCs/>
          <w:color w:val="auto"/>
          <w:szCs w:val="28"/>
          <w:lang w:val="kk-KZ"/>
        </w:rPr>
        <w:lastRenderedPageBreak/>
        <w:t>Цены на землю</w:t>
      </w:r>
    </w:p>
    <w:p w14:paraId="2C571885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  <w:t xml:space="preserve">Поскольку цены на землю определяются конкуренцией между альтернативными видами землепользования, они дают обобщенную статистику об относительной привлекательности региона. Рост цен на землю в некоторых районах по сравнению с другими можно объяснить спросом на коммерческую или жилую недвижимость. Эти потребности в землепользовании определяются производительностью и удобствами, а следовательно, природными благами и мощью агломераций. Исследование, проведенное Hawnaz et al., показало, что такие факторы, как </w:t>
      </w:r>
      <w:r w:rsidRPr="00070F04"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  <w:lastRenderedPageBreak/>
        <w:t>интеграция, связанность и ширина улиц, увеличивают потребность в землепользовании. Коммерческие зоны с хорошей интеграцией и более широкими дорогами, как правило, имеют более высокие цены на землю, в то время как узкие местные дороги обычно имеют более низкие цены. Этот результат может способствовать будущему городскому дизайну в отношении улучшения городской экономики и стоимости земли.</w:t>
      </w:r>
    </w:p>
    <w:p w14:paraId="24547538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</w:p>
    <w:p w14:paraId="5721A315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i/>
          <w:i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i/>
          <w:iCs/>
          <w:color w:val="auto"/>
          <w:szCs w:val="28"/>
          <w:lang w:val="kk-KZ"/>
        </w:rPr>
        <w:t>Плотность населения</w:t>
      </w:r>
    </w:p>
    <w:p w14:paraId="407A503E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  <w:t>Различия в ценах на землю сопровождаются существенными различиями в плотности населения. На плотность населения также влияют производительность и удобство, что опять же определяется природными преимуществами и силами агломерации (социальные объекты, инфраструктура). При прочих равных условиях высокая производительность или удобство местности привлекают людей, увеличивая плотность населения и повышая цены на землю. Эти более высокие цены на землю, в свою очередь, влияют на равновесную структуру города несколькими способами. Во-первых, жители могут отказаться от использования площади, что приводит к уменьшению размеров жилья. Во-вторых, более высокие цены на землю повышают отдачу от строительства более высоких зданий, что отражается в большом количестве небоскребов. В-третьих, рабочие могут приезжать на работу из других менее густонаселенных мест с более низкими ценами на землю. Все три реакции требуют больших затрат, так как уменьшение жилой площади снижает полезность, более высокие здания требуют больших затрат на строительство, а поездки на работу связаны с денежными и временными затратами.</w:t>
      </w:r>
    </w:p>
    <w:p w14:paraId="2F653EC7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</w:p>
    <w:p w14:paraId="5A26337B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i/>
          <w:i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i/>
          <w:iCs/>
          <w:color w:val="auto"/>
          <w:szCs w:val="28"/>
          <w:lang w:val="kk-KZ"/>
        </w:rPr>
        <w:t>Рабочие и жители</w:t>
      </w:r>
    </w:p>
    <w:p w14:paraId="0691D1B3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  <w:t>Работники, приезжая на работу, разделяют свое место жительства и место работы, чтобы воспользоваться преимуществами высокой заработной платы на рабочем месте и низкой стоимости жизни за вычетом коммунальных услуг и стоимости жилья на месте жительства. Такое разделение места работы и места жительства стало возможным благодаря современным транспортным технологиям, таким как наземные и подземные железнодорожные сети и системы автомагистралей, которые способны ежедневно перевозить большое количество людей между их домом и местом работы.</w:t>
      </w:r>
    </w:p>
    <w:p w14:paraId="2326759A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  <w:t>Следствием такого разделения места работы и места жительства является специализация районов между жилым и коммерческим землепользованием. Районы с высокой производительностью по отношению к удобствам могут специализироваться как рабочие места, а районы с высокими удобствами по отношению к производительности могут специализироваться как жилые. В результате возникает богатая внутренняя структура экономической активности в городах.</w:t>
      </w:r>
    </w:p>
    <w:p w14:paraId="157A69EB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  <w:lastRenderedPageBreak/>
        <w:t>Для объяснения данной закономерности следует рассмотреть следующую модель (см. рисунок 2), где внутренняя структура города определяется путем рассмотрения выбора места жительства и места работы.</w:t>
      </w:r>
    </w:p>
    <w:p w14:paraId="143E0F1A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</w:p>
    <w:p w14:paraId="2BD60ACC" w14:textId="77777777" w:rsidR="00070F04" w:rsidRPr="00070F04" w:rsidRDefault="00070F04" w:rsidP="00070F04">
      <w:pPr>
        <w:keepNext/>
        <w:jc w:val="both"/>
        <w:rPr>
          <w:rFonts w:ascii="Times New Roman" w:hAnsi="Times New Roman" w:cs="Times New Roman"/>
          <w:color w:val="auto"/>
          <w:szCs w:val="28"/>
        </w:rPr>
      </w:pPr>
      <w:r w:rsidRPr="00070F04">
        <w:rPr>
          <w:rFonts w:ascii="Times New Roman" w:hAnsi="Times New Roman" w:cs="Times New Roman"/>
          <w:noProof/>
          <w:color w:val="auto"/>
          <w:szCs w:val="28"/>
        </w:rPr>
        <w:drawing>
          <wp:inline distT="0" distB="0" distL="0" distR="0" wp14:anchorId="4982389C" wp14:editId="23C29CDA">
            <wp:extent cx="5940425" cy="2774315"/>
            <wp:effectExtent l="0" t="0" r="3175" b="698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77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91058" w14:textId="77777777" w:rsidR="00070F04" w:rsidRPr="00070F04" w:rsidRDefault="00070F04" w:rsidP="00070F04">
      <w:pPr>
        <w:pStyle w:val="ab"/>
        <w:jc w:val="both"/>
        <w:rPr>
          <w:rFonts w:ascii="Times New Roman" w:hAnsi="Times New Roman" w:cs="Times New Roman"/>
          <w:noProof/>
          <w:color w:val="auto"/>
          <w:sz w:val="28"/>
          <w:szCs w:val="28"/>
          <w:lang w:val="kk-KZ"/>
        </w:rPr>
      </w:pPr>
      <w:r w:rsidRPr="00070F04">
        <w:rPr>
          <w:rFonts w:ascii="Times New Roman" w:hAnsi="Times New Roman" w:cs="Times New Roman"/>
          <w:color w:val="auto"/>
          <w:sz w:val="28"/>
          <w:szCs w:val="28"/>
        </w:rPr>
        <w:t xml:space="preserve">Рисунок </w:t>
      </w:r>
      <w:r w:rsidRPr="00070F04">
        <w:rPr>
          <w:rFonts w:ascii="Times New Roman" w:hAnsi="Times New Roman" w:cs="Times New Roman"/>
          <w:color w:val="auto"/>
          <w:sz w:val="28"/>
          <w:szCs w:val="28"/>
        </w:rPr>
        <w:fldChar w:fldCharType="begin"/>
      </w:r>
      <w:r w:rsidRPr="00070F04">
        <w:rPr>
          <w:rFonts w:ascii="Times New Roman" w:hAnsi="Times New Roman" w:cs="Times New Roman"/>
          <w:color w:val="auto"/>
          <w:sz w:val="28"/>
          <w:szCs w:val="28"/>
        </w:rPr>
        <w:instrText xml:space="preserve"> SEQ Рисунок \* ARABIC </w:instrText>
      </w:r>
      <w:r w:rsidRPr="00070F04">
        <w:rPr>
          <w:rFonts w:ascii="Times New Roman" w:hAnsi="Times New Roman" w:cs="Times New Roman"/>
          <w:color w:val="auto"/>
          <w:sz w:val="28"/>
          <w:szCs w:val="28"/>
        </w:rPr>
        <w:fldChar w:fldCharType="separate"/>
      </w:r>
      <w:r w:rsidRPr="00070F04">
        <w:rPr>
          <w:rFonts w:ascii="Times New Roman" w:hAnsi="Times New Roman" w:cs="Times New Roman"/>
          <w:noProof/>
          <w:color w:val="auto"/>
          <w:sz w:val="28"/>
          <w:szCs w:val="28"/>
        </w:rPr>
        <w:t>2</w:t>
      </w:r>
      <w:r w:rsidRPr="00070F04">
        <w:rPr>
          <w:rFonts w:ascii="Times New Roman" w:hAnsi="Times New Roman" w:cs="Times New Roman"/>
          <w:noProof/>
          <w:color w:val="auto"/>
          <w:sz w:val="28"/>
          <w:szCs w:val="28"/>
        </w:rPr>
        <w:fldChar w:fldCharType="end"/>
      </w:r>
      <w:r w:rsidRPr="00070F04">
        <w:rPr>
          <w:rFonts w:ascii="Times New Roman" w:hAnsi="Times New Roman" w:cs="Times New Roman"/>
          <w:color w:val="auto"/>
          <w:sz w:val="28"/>
          <w:szCs w:val="28"/>
        </w:rPr>
        <w:t xml:space="preserve"> Выбор места жительства и работы</w:t>
      </w:r>
    </w:p>
    <w:p w14:paraId="52A4F0CF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  <w:t xml:space="preserve">На левой панели рисунка 1 иллюстрируется определение количества жителей (Rn). Горизонтальная линия показывает резервный уровень полезности в широкой экономике (Ū). Наклонная вниз линия показывает ожидаемую полезность от места жительства n (Un). Ожидаемая полезность уменьшается с ростом числа жителей по двум причинам. Во-первых, при увеличении числа жителей при заданном предложении жилой площади это приводит к росту цены на жилую площадь и снижает ожидаемую полезность. Во-вторых, при увеличении числа жителей в данном месте мы привлекаем работников с более низкой реализацией идиосинкразических предпочтений в отношении данного места, что снижает ожидаемую полезность за счет эффекта состава или эффекта "бьющегося среднего". Равновесное число жителей определяется пересечением резервного уровня полезности в широкой экономике (Ū) и ожидаемой полезности от проживания в квартале n. Положение линии ожидаемой полезности (Un), а значит, и равновесное число жителей, зависит как от экзогенных, так и от эндогенных переменных. Ключевыми экзогенными переменными являются фундаментальные характеристики жилья и географическая площадь земли. Увеличение обеих этих экзогенных переменных смещает ожидаемую линию полезности наружу и увеличивает равновесное число жителей. Ключевыми эндогенными переменными являются доступ к близлежащим рабочим местам (определяемый временем в пути и заработной платой), отношение жилой площади к географической площади земли и внешние эффекты, связанные с жильем. Увеличение каждой из этих эндогенных переменных смещает линию ожидаемой полезности наружу и увеличивает </w:t>
      </w:r>
      <w:r w:rsidRPr="00070F04"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  <w:lastRenderedPageBreak/>
        <w:t>равновесное число жителей, где эти эндогенные переменные определяются вместе с выбором места работы в общем равновесии модели.</w:t>
      </w:r>
    </w:p>
    <w:p w14:paraId="1CB7242C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  <w:t>На правой панели рисунка 2 показано определение количества работников на каждом рабочем месте (Ln). Наклонная вниз линия показывает спрос на труд на рабочем месте n, определяемый равенством между заработной платой и стоимостным предельным продуктом труда. Увеличение числа работников, занятых на данном месте, приводит к снижению заработной платы из-за уменьшения предельной физической производительности труда в технологии производства. Восходящая линия показывает предложение труда на рабочем месте n, определяемое выбором работником места жительства и места работы. Чтобы увеличить предложение труда, фирмы должны предложить более высокую заработную плату, чтобы привлечь работников с более низкой реализацией идиосинкразических предпочтений для данного рабочего места. Равновесное количество работников (Ln) определяется пересечением спроса на труд и предложения труда. Положение линий спроса на труд и предложения труда также формируется как экзогенными, так и эндогенными переменными. Увеличение таких экзогенных переменных, как основы производства и площадь географической земли, сдвигает линию спроса на труд наружу, так же как и увеличение эндогенных переменных, таких как производственные экстерналии и отношение площади коммерческих площадей к площади географической земли. Увеличение эндогенной переменной доступа к окружающим домам (определяемого временем в пути и заработной платой) смещает линию предложения труда наружу. И снова эти эндогенные переменные определяются совместно с выбором места жительства в общем равновесии модели.</w:t>
      </w:r>
    </w:p>
    <w:p w14:paraId="38F35FD6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noProof/>
          <w:color w:val="auto"/>
          <w:szCs w:val="28"/>
          <w:lang w:val="kk-KZ"/>
        </w:rPr>
      </w:pPr>
    </w:p>
    <w:p w14:paraId="6BB062E4" w14:textId="0FB41A13" w:rsidR="00070F04" w:rsidRPr="00070F04" w:rsidRDefault="006425AA" w:rsidP="00070F04">
      <w:pPr>
        <w:jc w:val="both"/>
        <w:rPr>
          <w:rFonts w:ascii="Times New Roman" w:hAnsi="Times New Roman" w:cs="Times New Roman"/>
          <w:bCs/>
          <w:color w:val="auto"/>
          <w:szCs w:val="28"/>
        </w:rPr>
      </w:pPr>
      <w:r>
        <w:rPr>
          <w:rFonts w:ascii="Times New Roman" w:hAnsi="Times New Roman" w:cs="Times New Roman"/>
          <w:bCs/>
          <w:color w:val="auto"/>
          <w:szCs w:val="28"/>
          <w:lang w:val="kk-KZ"/>
        </w:rPr>
        <w:t>Р</w:t>
      </w:r>
      <w:proofErr w:type="spellStart"/>
      <w:r w:rsidRPr="00070F04">
        <w:rPr>
          <w:rFonts w:ascii="Times New Roman" w:hAnsi="Times New Roman" w:cs="Times New Roman"/>
          <w:bCs/>
          <w:color w:val="auto"/>
          <w:szCs w:val="28"/>
        </w:rPr>
        <w:t>оль</w:t>
      </w:r>
      <w:proofErr w:type="spellEnd"/>
      <w:r w:rsidRPr="00070F04">
        <w:rPr>
          <w:rFonts w:ascii="Times New Roman" w:hAnsi="Times New Roman" w:cs="Times New Roman"/>
          <w:bCs/>
          <w:color w:val="auto"/>
          <w:szCs w:val="28"/>
        </w:rPr>
        <w:t xml:space="preserve"> государственных институтов</w:t>
      </w:r>
    </w:p>
    <w:p w14:paraId="68CEAFF9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</w:p>
    <w:p w14:paraId="5C41DA11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В условиях глобальной урбанизации и стремительного роста городского населения создание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полицентричных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городов становится одной из ключевых стратегий для обеспечения устойчивого развития.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Полицентричные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города, характеризующиеся наличием нескольких центров активности, могут эффективно справляться с проблемами перегруженности, улучшать качество жизни и стимулировать экономический рост. Для достижения этих целей государственные институты должны предпринять комплексные меры, направленные на привлечение бизнеса и населения в новые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полицентры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  <w:t>.</w:t>
      </w:r>
    </w:p>
    <w:p w14:paraId="6557AC9E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</w:p>
    <w:p w14:paraId="6F861F8F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i/>
          <w:i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i/>
          <w:iCs/>
          <w:color w:val="auto"/>
          <w:szCs w:val="28"/>
        </w:rPr>
        <w:t>Инвестиции в Инфраструктуру</w:t>
      </w:r>
    </w:p>
    <w:p w14:paraId="07759BF3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Эффективная транспортная сеть является основой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полицентричного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развития. Государственные институты должны инвестировать в строительство и модернизацию транспортных коридоров, обеспечивая высокоскоростной и </w:t>
      </w: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lastRenderedPageBreak/>
        <w:t xml:space="preserve">доступный общественный транспорт, который соединяет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субцентры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с центральными районами города (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Cervero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, 1998). Создание мультимодальных транспортных узлов интегрирует различные виды транспорта (метро, автобусы, трамваи, велосипеды) в единые узлы, обеспечивая легкую пересадку и сокращение времени в пути.</w:t>
      </w:r>
    </w:p>
    <w:p w14:paraId="45EC7B70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Доступ к современным инженерным сетям (водоснабжение, электроснабжение, канализация) играет решающую роль в привлечении бизнеса и населения. Создание умных сетей с внедрением технологий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smart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grid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и систем управления ресурсами повышает эффективность и устойчивость инфраструктуры (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Chourabi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et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al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., 2012). Развитие коммуникационной инфраструктуры обеспечивает доступ к высокоскоростному интернету и современным коммуникационным технологиям.</w:t>
      </w:r>
    </w:p>
    <w:p w14:paraId="1C486071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</w:p>
    <w:p w14:paraId="1FA87FFB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i/>
          <w:i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i/>
          <w:iCs/>
          <w:color w:val="auto"/>
          <w:szCs w:val="28"/>
        </w:rPr>
        <w:t>Экономическое Стимулирование</w:t>
      </w:r>
    </w:p>
    <w:p w14:paraId="1E428B1D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Предоставление налоговых льгот и субсидий является мощным инструментом для стимулирования инвестиций. Льготы для бизнеса, такие как снижение налогов на прибыль и предоставление субсидий на капитальные вложения для компаний, размещающихся в новых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субцентрах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, способствуют экономическому развитию (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Glaeser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, 2011). Гранты и кредиты для стартапов поддерживают малый и средний бизнес через грантовые программы и льготное кредитование.</w:t>
      </w:r>
    </w:p>
    <w:p w14:paraId="79DFA396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Создание благоприятных условий для иностранных инвесторов включает прозрачные правовые рамки, обеспечивающие защиту прав инвесторов и упрощение административных процедур для регистрации и ведения бизнеса (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Porter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, 1990). Организация инвестиционных форумов и конференций привлекает инвесторов и представляет возможности политцентров.</w:t>
      </w:r>
    </w:p>
    <w:p w14:paraId="13939959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</w:p>
    <w:p w14:paraId="206E9585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i/>
          <w:i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i/>
          <w:iCs/>
          <w:color w:val="auto"/>
          <w:szCs w:val="28"/>
        </w:rPr>
        <w:t>Социальное и Культурное Развитие</w:t>
      </w:r>
    </w:p>
    <w:p w14:paraId="4D6ACCE8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Общественные пространства играют важную роль в повышении привлекательности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субцентров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. Создание парков и скверов способствует развитию зеленых зон для отдыха и социальных взаимодействий, что улучшает качество жизни (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Gehl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2011). Организация культурных мероприятий, таких как фестивали, концерты и спортивные мероприятия, привлекает население и создаёт культурную идентичность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субцентров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.</w:t>
      </w:r>
    </w:p>
    <w:p w14:paraId="1543C5F6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Качественное образование и здравоохранение являются основными факторами для привлечения населения. Строительство школ и университетов обеспечивает доступ к качественному образованию на всех уровнях (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Florida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, 2002). Модернизация медицинских учреждений создаёт современные больницы и клиники с высококвалифицированным персоналом</w:t>
      </w:r>
      <w:r w:rsidRPr="00070F04"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  <w:t>.</w:t>
      </w:r>
    </w:p>
    <w:p w14:paraId="640E3480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  <w:lang w:val="kk-KZ"/>
        </w:rPr>
      </w:pPr>
    </w:p>
    <w:p w14:paraId="1000ECF1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i/>
          <w:i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i/>
          <w:iCs/>
          <w:color w:val="auto"/>
          <w:szCs w:val="28"/>
        </w:rPr>
        <w:t>Экологическая Устойчивость</w:t>
      </w:r>
    </w:p>
    <w:p w14:paraId="0E8E963F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lastRenderedPageBreak/>
        <w:t>Экологическая устойчивость становится всё более важным фактором для современных городов. Внедрение зеленых технологий включает строительство энергоэффективных зданий и использование возобновляемых источников энергии (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Newman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&amp;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Kenworthy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, 1999). Развитие систем переработки отходов и управление загрязнением окружающей среды также важны для поддержания экологического баланса.</w:t>
      </w:r>
    </w:p>
    <w:p w14:paraId="0F26A750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Государственные институты должны внедрять строгие экологические стандарты, включая контроль выбросов и установление норм по защите водных ресурсов (OECD, 2012). Эти меры способствуют снижению уровня загрязнения и защите природных ресурсов.</w:t>
      </w:r>
    </w:p>
    <w:p w14:paraId="58ED52EC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noProof/>
          <w:color w:val="auto"/>
          <w:szCs w:val="28"/>
        </w:rPr>
      </w:pPr>
    </w:p>
    <w:p w14:paraId="2392FDAE" w14:textId="10B05718" w:rsidR="00070F04" w:rsidRPr="00070F04" w:rsidRDefault="006425AA" w:rsidP="00070F04">
      <w:pPr>
        <w:jc w:val="both"/>
        <w:rPr>
          <w:rFonts w:ascii="Times New Roman" w:hAnsi="Times New Roman" w:cs="Times New Roman"/>
          <w:bCs/>
          <w:color w:val="auto"/>
          <w:szCs w:val="28"/>
        </w:rPr>
      </w:pPr>
      <w:r>
        <w:rPr>
          <w:rFonts w:ascii="Times New Roman" w:hAnsi="Times New Roman" w:cs="Times New Roman"/>
          <w:bCs/>
          <w:color w:val="auto"/>
          <w:szCs w:val="28"/>
          <w:lang w:val="kk-KZ"/>
        </w:rPr>
        <w:t>М</w:t>
      </w:r>
      <w:proofErr w:type="spellStart"/>
      <w:r w:rsidRPr="00070F04">
        <w:rPr>
          <w:rFonts w:ascii="Times New Roman" w:hAnsi="Times New Roman" w:cs="Times New Roman"/>
          <w:bCs/>
          <w:color w:val="auto"/>
          <w:szCs w:val="28"/>
        </w:rPr>
        <w:t>еждународный</w:t>
      </w:r>
      <w:proofErr w:type="spellEnd"/>
      <w:r w:rsidRPr="00070F04">
        <w:rPr>
          <w:rFonts w:ascii="Times New Roman" w:hAnsi="Times New Roman" w:cs="Times New Roman"/>
          <w:bCs/>
          <w:color w:val="auto"/>
          <w:szCs w:val="28"/>
        </w:rPr>
        <w:t xml:space="preserve"> опыт</w:t>
      </w:r>
    </w:p>
    <w:p w14:paraId="591ABCCC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</w:p>
    <w:p w14:paraId="71C9CDF9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Шанхай — один из самых густонаселенных городов в мире, который продолжает расти за счет притока населения из разных регионов Китая. Для удовлетворения высокого спроса на динамичную экономическую деятельность и быстро растущий приток населения расширение города стало необходимостью. На протяжении десятилетий Шанхай проводил политику городского планирования, направленную на превращение из сверхплотного моноцентрического города в мульти центрический мегаполис с целью децентрализации населения и экономической активности.</w:t>
      </w:r>
    </w:p>
    <w:p w14:paraId="65EFD0ED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В 1958 году для поддержки развития Шанхая центральное правительство приняло решение о переводе уездов из провинции Цзянсу в Шанхай, что способствовало децентрализации населения и фабрик из центрального района города. В 1959 году был разработан генеральный план, в котором градостроительная политика направлялась на сдерживание роста населения в центральной части Шанхая до уровня не более 3 миллионов человек, с населением на периферии в 1 миллион и с 2 миллионами жителей в семнадцати городах-спутниках. Предполагалось, что население каждого города-спутника составит от 100 до 200 тысяч человек. Из-за нехватки земли для расширения заводов и для предотвращения загрязнения окружающей среды в центральной части Шанхая было перенесено 720 заводов с численностью более 100 человек и 2000-3000 заводов с численностью менее 100 человек в 10 промышленных районов ближнего пригорода (Усун,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Юньзаобан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Пэнпу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Таопу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Бэйсиньцзин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Цаохэцзин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Чанцяо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Чжоуцзяду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Дунгоу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и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Гаоцяо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) и в города-спутники (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Минхан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Вуцзин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Цзядин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Антин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Сунцзян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Бэйянцяо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Цинпу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Танкоу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Наньцяно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Чжоупу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Чжуанша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Чжуцзин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Фэнцзин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Фэнчэн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Наньхуэй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Чунмин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и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Баочжэн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).</w:t>
      </w:r>
    </w:p>
    <w:p w14:paraId="3C2EFD86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Между городом и ближайшими пригородами был создан зеленый пояс шириной от одного до четырех километров, чтобы предотвратить расширение города за пределы пригорода. Для увеличения зеленых насаждений и общественных зданий в центре </w:t>
      </w: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lastRenderedPageBreak/>
        <w:t xml:space="preserve">города было предложено строительство многоэтажных жилых комплексов. Несмотря на сильное влияние "Великой культурной революции" на городское строительство, этот план сосредотачивался на строительстве муниципальных объектов и промышленных зон в пригородах. Несколько крупных заводов были размещены в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Уцзяне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Минхане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Антине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,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Цзядине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и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Сунцзяне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. С тех пор Шанхай превратился в городскую агломерацию, включающую промышленные зоны в ближайших пригородах и города-спутники в отдаленных районах.</w:t>
      </w:r>
    </w:p>
    <w:p w14:paraId="71C0C6F5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Два огромных промышленных объекта также оказали значительное влияние на пространственную структуру Шанхая. В 1972 году недалеко от залива Ханчжоу, в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Цзиншаньвэе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, на расстоянии 72 км от центра города, был построен Шанхайский нефтехимический завод. В 1978 году на южном берегу реки Янцзы был возведен металлургический завод "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Баошань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". Оба завода воспользовались выгодами доступного водного транспорта для поставки промышленных материалов и продукции, что привело к значительному увеличению числа рабочих мест. К 1990 году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Баошань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и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Цзиншаньвэй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стали двумя крупнейшими городами-спутниками Шанхая, хотя они были построены более десяти лет спустя, чем другие города-спутники.</w:t>
      </w:r>
    </w:p>
    <w:p w14:paraId="0B9D9793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В мае 2001 года Государственный совет утвердил новый генеральный план «Генеральный план развития Шанхая (1999-2020 гг.)». Благодаря этому плану Шанхай стал мировым экономическим центром, финансовым центром, торговым центром и центром судоходства. Таким образом, в соответствии с принципом координации развития города и его пригородов была структурирована территория Шанхая: центральный город стал основным многокоридорным, многоуровневым и многоядерным центром.</w:t>
      </w:r>
    </w:p>
    <w:p w14:paraId="37CC8B8A" w14:textId="77777777" w:rsidR="00070F04" w:rsidRPr="00070F04" w:rsidRDefault="00070F04" w:rsidP="00070F04">
      <w:pPr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</w:p>
    <w:p w14:paraId="3D11FC42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noProof/>
          <w:color w:val="auto"/>
          <w:szCs w:val="28"/>
        </w:rPr>
      </w:pPr>
      <w:r w:rsidRPr="00070F04">
        <w:rPr>
          <w:rFonts w:ascii="Times New Roman" w:hAnsi="Times New Roman" w:cs="Times New Roman"/>
          <w:noProof/>
          <w:color w:val="auto"/>
          <w:szCs w:val="28"/>
        </w:rPr>
        <w:br w:type="page"/>
      </w:r>
    </w:p>
    <w:p w14:paraId="7607429F" w14:textId="3B64BD81" w:rsidR="00070F04" w:rsidRPr="006425AA" w:rsidRDefault="006425AA" w:rsidP="00070F04">
      <w:pPr>
        <w:spacing w:after="200"/>
        <w:jc w:val="both"/>
        <w:rPr>
          <w:rFonts w:ascii="Times New Roman" w:hAnsi="Times New Roman" w:cs="Times New Roman"/>
          <w:noProof/>
          <w:color w:val="auto"/>
          <w:szCs w:val="28"/>
          <w:lang w:val="kk-KZ"/>
        </w:rPr>
      </w:pPr>
      <w:r>
        <w:rPr>
          <w:rFonts w:ascii="Times New Roman" w:hAnsi="Times New Roman" w:cs="Times New Roman"/>
          <w:noProof/>
          <w:color w:val="auto"/>
          <w:szCs w:val="28"/>
          <w:lang w:val="kk-KZ"/>
        </w:rPr>
        <w:lastRenderedPageBreak/>
        <w:t>З</w:t>
      </w:r>
      <w:r w:rsidRPr="00070F04">
        <w:rPr>
          <w:rFonts w:ascii="Times New Roman" w:hAnsi="Times New Roman" w:cs="Times New Roman"/>
          <w:noProof/>
          <w:color w:val="auto"/>
          <w:szCs w:val="28"/>
        </w:rPr>
        <w:t>аключение</w:t>
      </w:r>
    </w:p>
    <w:p w14:paraId="0F93B504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ab/>
        <w:t xml:space="preserve">В условиях стремительного роста городского населения и урбанизации, создание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полицентричных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городов становится важным шагом для обеспечения устойчивого развития. Пример Шанхая и его эволюция из сверхплотного моноцентрического города в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мультицентрический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мегаполис подчеркивают, что экономически успех таких проектов зависит от активного участия государственных институтов. Эти города требуют комплексного подхода к развитию инфраструктуры, экономики, социальной сферы и экологической устойчивости для обеспечения высокого уровня жизни и устойчивого экономического роста.</w:t>
      </w:r>
    </w:p>
    <w:p w14:paraId="3094199E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ab/>
        <w:t xml:space="preserve">Научные исследования подтверждают эффективность следующих мер для успешного развития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полицентричных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городов:</w:t>
      </w:r>
    </w:p>
    <w:p w14:paraId="3CA7A0F5" w14:textId="77777777" w:rsidR="00070F04" w:rsidRPr="00070F04" w:rsidRDefault="00070F04" w:rsidP="00070F04">
      <w:pPr>
        <w:pStyle w:val="ac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color w:val="auto"/>
          <w:szCs w:val="28"/>
        </w:rPr>
        <w:t>Инвестиции в инфраструктуру,</w:t>
      </w: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включая строительство современных транспортных коридоров и мультимодальных узлов, развитие коммуникационной и инженерной инфраструктуры.</w:t>
      </w:r>
    </w:p>
    <w:p w14:paraId="05D6B9B0" w14:textId="77777777" w:rsidR="00070F04" w:rsidRPr="00070F04" w:rsidRDefault="00070F04" w:rsidP="00070F04">
      <w:pPr>
        <w:pStyle w:val="ac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color w:val="auto"/>
          <w:szCs w:val="28"/>
        </w:rPr>
        <w:t>Экономическое стимулирование</w:t>
      </w: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через предоставление налоговых льгот, субсидий и других </w:t>
      </w:r>
      <w:proofErr w:type="spellStart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инцентивов</w:t>
      </w:r>
      <w:proofErr w:type="spellEnd"/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для привлечения бизнеса и инвестиций.</w:t>
      </w:r>
    </w:p>
    <w:p w14:paraId="199E50E2" w14:textId="77777777" w:rsidR="00070F04" w:rsidRPr="00070F04" w:rsidRDefault="00070F04" w:rsidP="00070F04">
      <w:pPr>
        <w:pStyle w:val="ac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color w:val="auto"/>
          <w:szCs w:val="28"/>
        </w:rPr>
        <w:t>Социальное и культурное развитие</w:t>
      </w: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>, включая создание общественных пространств и улучшение доступа к образованию, здравоохранению и культурным мероприятиям.</w:t>
      </w:r>
    </w:p>
    <w:p w14:paraId="6991AD90" w14:textId="77777777" w:rsidR="00070F04" w:rsidRPr="00070F04" w:rsidRDefault="00070F04" w:rsidP="00070F04">
      <w:pPr>
        <w:pStyle w:val="ac"/>
        <w:numPr>
          <w:ilvl w:val="0"/>
          <w:numId w:val="1"/>
        </w:numPr>
        <w:spacing w:after="200"/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color w:val="auto"/>
          <w:szCs w:val="28"/>
        </w:rPr>
        <w:t>Экологическая устойчивость,</w:t>
      </w: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 xml:space="preserve"> включая внедрение зеленых технологий, управление отходами и защиту окружающей среды.</w:t>
      </w:r>
    </w:p>
    <w:p w14:paraId="14BC67C0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color w:val="auto"/>
          <w:szCs w:val="28"/>
        </w:rPr>
        <w:tab/>
        <w:t>Эти меры направлены на создание городов будущего, способных эффективно решать вызовы урбанизации и изменений климата, обеспечивая высокий уровень жизни и устойчивый экономический рост. Реализация этих стратегий требует согласованных действий со стороны государственных институтов, частного сектора и местных сообществ. Только такой комплексный подход позволит создать города будущего, способные эффективно справляться с вызовами глобализации, урбанизации и изменений климата.</w:t>
      </w:r>
    </w:p>
    <w:p w14:paraId="1AE4DC96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noProof/>
          <w:color w:val="auto"/>
          <w:szCs w:val="28"/>
        </w:rPr>
      </w:pPr>
      <w:r w:rsidRPr="00070F04">
        <w:rPr>
          <w:rFonts w:ascii="Times New Roman" w:hAnsi="Times New Roman" w:cs="Times New Roman"/>
          <w:noProof/>
          <w:color w:val="auto"/>
          <w:szCs w:val="28"/>
        </w:rPr>
        <w:br w:type="page"/>
      </w:r>
    </w:p>
    <w:p w14:paraId="58EF23EF" w14:textId="00E5C116" w:rsidR="00070F04" w:rsidRPr="00070F04" w:rsidRDefault="006425AA" w:rsidP="00070F04">
      <w:pPr>
        <w:spacing w:after="200"/>
        <w:jc w:val="both"/>
        <w:rPr>
          <w:rFonts w:ascii="Times New Roman" w:hAnsi="Times New Roman" w:cs="Times New Roman"/>
          <w:noProof/>
          <w:color w:val="auto"/>
          <w:szCs w:val="28"/>
          <w:lang w:val="en-US"/>
        </w:rPr>
      </w:pPr>
      <w:r>
        <w:rPr>
          <w:rFonts w:ascii="Times New Roman" w:hAnsi="Times New Roman" w:cs="Times New Roman"/>
          <w:noProof/>
          <w:color w:val="auto"/>
          <w:szCs w:val="28"/>
          <w:lang w:val="kk-KZ"/>
        </w:rPr>
        <w:lastRenderedPageBreak/>
        <w:t>Л</w:t>
      </w:r>
      <w:r w:rsidRPr="00070F04">
        <w:rPr>
          <w:rFonts w:ascii="Times New Roman" w:hAnsi="Times New Roman" w:cs="Times New Roman"/>
          <w:noProof/>
          <w:color w:val="auto"/>
          <w:szCs w:val="28"/>
        </w:rPr>
        <w:t>итература</w:t>
      </w:r>
    </w:p>
    <w:p w14:paraId="69425F90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</w:pP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>•</w:t>
      </w: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ab/>
        <w:t>Batty, M. (2008). "The Size, Scale, and Shape of Cities." Science.</w:t>
      </w:r>
    </w:p>
    <w:p w14:paraId="32590C0D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</w:pP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>•</w:t>
      </w: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ab/>
        <w:t>Bertolini, L., &amp; Dijst, M. (2003). "Mobility environments and network cities." Journal of Urban Design.</w:t>
      </w:r>
    </w:p>
    <w:p w14:paraId="1D30286A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</w:pP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>•</w:t>
      </w: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ab/>
        <w:t>Cervero, R. (1998). "The Transit Metropolis: A Global Inquiry." Island Press.</w:t>
      </w:r>
    </w:p>
    <w:p w14:paraId="5B8B2E3E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</w:pP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>•</w:t>
      </w: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ab/>
        <w:t>Chourabi, H., Nam, T., Walker, S., Gil-Garcia, J. R., Mellouli, S., Nahon, K., ... &amp; Scholl, H. J. (2012). "Understanding smart cities: An integrative framework." Hawaii International Conference on System Science.</w:t>
      </w:r>
    </w:p>
    <w:p w14:paraId="0579E229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</w:pP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>•</w:t>
      </w: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ab/>
        <w:t>Florida, R. (2002). "The Rise of the Creative Class." Basic Books.</w:t>
      </w:r>
    </w:p>
    <w:p w14:paraId="2FE5E602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</w:pP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>•</w:t>
      </w: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ab/>
        <w:t>Gehl, J. (2011). "Life Between Buildings: Using Public Space." Island Press.</w:t>
      </w:r>
    </w:p>
    <w:p w14:paraId="21B5AD86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</w:pP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>•</w:t>
      </w: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ab/>
        <w:t>Glaeser, E. (2011). "Triumph of the City." Penguin Press.</w:t>
      </w:r>
    </w:p>
    <w:p w14:paraId="51CEBC81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</w:pP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>•</w:t>
      </w: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ab/>
        <w:t>Newman, P., &amp; Kenworthy, J. (1999). "Sustainability and Cities: Overcoming Automobile Dependence." Island Press.</w:t>
      </w:r>
    </w:p>
    <w:p w14:paraId="03227E01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</w:pP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>•</w:t>
      </w: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ab/>
        <w:t>OECD (2012). "Compact City Policies: A Comparative Assessment." OECD Publishing.</w:t>
      </w:r>
    </w:p>
    <w:p w14:paraId="5D48975F" w14:textId="77777777" w:rsidR="00070F04" w:rsidRPr="00070F04" w:rsidRDefault="00070F04" w:rsidP="00070F04">
      <w:pPr>
        <w:spacing w:after="200"/>
        <w:jc w:val="both"/>
        <w:rPr>
          <w:rFonts w:ascii="Times New Roman" w:hAnsi="Times New Roman" w:cs="Times New Roman"/>
          <w:b w:val="0"/>
          <w:bCs/>
          <w:noProof/>
          <w:color w:val="auto"/>
          <w:szCs w:val="28"/>
        </w:rPr>
      </w:pP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>•</w:t>
      </w: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  <w:lang w:val="en-US"/>
        </w:rPr>
        <w:tab/>
        <w:t xml:space="preserve">Porter, M. (1990). "The Competitive Advantage of Nations." </w:t>
      </w:r>
      <w:r w:rsidRPr="00070F04">
        <w:rPr>
          <w:rFonts w:ascii="Times New Roman" w:hAnsi="Times New Roman" w:cs="Times New Roman"/>
          <w:b w:val="0"/>
          <w:bCs/>
          <w:noProof/>
          <w:color w:val="auto"/>
          <w:szCs w:val="28"/>
        </w:rPr>
        <w:t>Free Press.</w:t>
      </w:r>
    </w:p>
    <w:p w14:paraId="435A78D1" w14:textId="77777777" w:rsidR="00687285" w:rsidRPr="00070F04" w:rsidRDefault="00687285" w:rsidP="00070F04">
      <w:pPr>
        <w:jc w:val="both"/>
        <w:rPr>
          <w:rFonts w:ascii="Times New Roman" w:hAnsi="Times New Roman" w:cs="Times New Roman"/>
          <w:color w:val="auto"/>
          <w:szCs w:val="28"/>
        </w:rPr>
      </w:pPr>
    </w:p>
    <w:sectPr w:rsidR="00687285" w:rsidRPr="00070F04" w:rsidSect="00AB02A7">
      <w:footerReference w:type="default" r:id="rId9"/>
      <w:pgSz w:w="11906" w:h="16838" w:code="9"/>
      <w:pgMar w:top="720" w:right="936" w:bottom="720" w:left="936" w:header="0" w:footer="289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AE15E" w14:textId="77777777" w:rsidR="00D077E6" w:rsidRDefault="00D077E6" w:rsidP="00070F04">
      <w:pPr>
        <w:spacing w:line="240" w:lineRule="auto"/>
      </w:pPr>
      <w:r>
        <w:separator/>
      </w:r>
    </w:p>
  </w:endnote>
  <w:endnote w:type="continuationSeparator" w:id="0">
    <w:p w14:paraId="03C4C37C" w14:textId="77777777" w:rsidR="00D077E6" w:rsidRDefault="00D077E6" w:rsidP="00070F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noProof/>
      </w:rPr>
      <w:id w:val="-890194395"/>
      <w:docPartObj>
        <w:docPartGallery w:val="Page Numbers (Bottom of Page)"/>
        <w:docPartUnique/>
      </w:docPartObj>
    </w:sdtPr>
    <w:sdtEndPr/>
    <w:sdtContent>
      <w:p w14:paraId="29864743" w14:textId="77777777" w:rsidR="00DF027C" w:rsidRDefault="00684F25">
        <w:pPr>
          <w:pStyle w:val="a5"/>
          <w:jc w:val="center"/>
          <w:rPr>
            <w:noProof/>
          </w:rPr>
        </w:pPr>
        <w:r>
          <w:rPr>
            <w:noProof/>
            <w:lang w:bidi="ru-RU"/>
          </w:rPr>
          <w:fldChar w:fldCharType="begin"/>
        </w:r>
        <w:r>
          <w:rPr>
            <w:noProof/>
            <w:lang w:bidi="ru-RU"/>
          </w:rPr>
          <w:instrText xml:space="preserve"> PAGE   \* MERGEFORMAT </w:instrText>
        </w:r>
        <w:r>
          <w:rPr>
            <w:noProof/>
            <w:lang w:bidi="ru-RU"/>
          </w:rPr>
          <w:fldChar w:fldCharType="separate"/>
        </w:r>
        <w:r>
          <w:rPr>
            <w:noProof/>
            <w:lang w:bidi="ru-RU"/>
          </w:rPr>
          <w:t>2</w:t>
        </w:r>
        <w:r>
          <w:rPr>
            <w:noProof/>
            <w:lang w:bidi="ru-RU"/>
          </w:rPr>
          <w:fldChar w:fldCharType="end"/>
        </w:r>
      </w:p>
    </w:sdtContent>
  </w:sdt>
  <w:p w14:paraId="1F68AC8F" w14:textId="77777777" w:rsidR="00DF027C" w:rsidRDefault="00D66E4D">
    <w:pPr>
      <w:pStyle w:val="a5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47FB" w14:textId="77777777" w:rsidR="00D077E6" w:rsidRDefault="00D077E6" w:rsidP="00070F04">
      <w:pPr>
        <w:spacing w:line="240" w:lineRule="auto"/>
      </w:pPr>
      <w:r>
        <w:separator/>
      </w:r>
    </w:p>
  </w:footnote>
  <w:footnote w:type="continuationSeparator" w:id="0">
    <w:p w14:paraId="338DE7A7" w14:textId="77777777" w:rsidR="00D077E6" w:rsidRDefault="00D077E6" w:rsidP="00070F0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375B6"/>
    <w:multiLevelType w:val="hybridMultilevel"/>
    <w:tmpl w:val="0F929CC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FD"/>
    <w:rsid w:val="00070F04"/>
    <w:rsid w:val="0031677A"/>
    <w:rsid w:val="006425AA"/>
    <w:rsid w:val="00684F25"/>
    <w:rsid w:val="00687285"/>
    <w:rsid w:val="007C3FB6"/>
    <w:rsid w:val="0081757C"/>
    <w:rsid w:val="00981F55"/>
    <w:rsid w:val="00D077E6"/>
    <w:rsid w:val="00D66E4D"/>
    <w:rsid w:val="00D9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FD37"/>
  <w15:chartTrackingRefBased/>
  <w15:docId w15:val="{29626A95-6891-49B7-BAC8-C450FDB05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8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04"/>
    <w:pPr>
      <w:spacing w:after="0" w:line="276" w:lineRule="auto"/>
    </w:pPr>
    <w:rPr>
      <w:rFonts w:eastAsiaTheme="minorEastAsia"/>
      <w:b/>
      <w:color w:val="44546A" w:themeColor="text2"/>
      <w:sz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8"/>
    <w:unhideWhenUsed/>
    <w:rsid w:val="00070F04"/>
  </w:style>
  <w:style w:type="character" w:customStyle="1" w:styleId="a4">
    <w:name w:val="Верхний колонтитул Знак"/>
    <w:basedOn w:val="a0"/>
    <w:link w:val="a3"/>
    <w:uiPriority w:val="8"/>
    <w:rsid w:val="00070F04"/>
    <w:rPr>
      <w:rFonts w:eastAsiaTheme="minorEastAsia"/>
      <w:b/>
      <w:color w:val="44546A" w:themeColor="text2"/>
      <w:sz w:val="28"/>
      <w:lang w:val="ru-RU"/>
    </w:rPr>
  </w:style>
  <w:style w:type="paragraph" w:styleId="a5">
    <w:name w:val="footer"/>
    <w:basedOn w:val="a"/>
    <w:link w:val="a6"/>
    <w:uiPriority w:val="99"/>
    <w:unhideWhenUsed/>
    <w:rsid w:val="00070F04"/>
  </w:style>
  <w:style w:type="character" w:customStyle="1" w:styleId="a6">
    <w:name w:val="Нижний колонтитул Знак"/>
    <w:basedOn w:val="a0"/>
    <w:link w:val="a5"/>
    <w:uiPriority w:val="99"/>
    <w:rsid w:val="00070F04"/>
    <w:rPr>
      <w:rFonts w:eastAsiaTheme="minorEastAsia"/>
      <w:b/>
      <w:color w:val="44546A" w:themeColor="text2"/>
      <w:sz w:val="28"/>
      <w:lang w:val="ru-RU"/>
    </w:rPr>
  </w:style>
  <w:style w:type="paragraph" w:customStyle="1" w:styleId="a7">
    <w:name w:val="Содержимое"/>
    <w:basedOn w:val="a"/>
    <w:link w:val="a8"/>
    <w:qFormat/>
    <w:rsid w:val="00070F04"/>
    <w:rPr>
      <w:b w:val="0"/>
    </w:rPr>
  </w:style>
  <w:style w:type="paragraph" w:customStyle="1" w:styleId="a9">
    <w:name w:val="Выделенный текст"/>
    <w:basedOn w:val="a"/>
    <w:link w:val="aa"/>
    <w:qFormat/>
    <w:rsid w:val="00070F04"/>
  </w:style>
  <w:style w:type="character" w:customStyle="1" w:styleId="a8">
    <w:name w:val="Содержимое (знак)"/>
    <w:basedOn w:val="a0"/>
    <w:link w:val="a7"/>
    <w:rsid w:val="00070F04"/>
    <w:rPr>
      <w:rFonts w:eastAsiaTheme="minorEastAsia"/>
      <w:color w:val="44546A" w:themeColor="text2"/>
      <w:sz w:val="28"/>
      <w:lang w:val="ru-RU"/>
    </w:rPr>
  </w:style>
  <w:style w:type="character" w:customStyle="1" w:styleId="aa">
    <w:name w:val="Выделенный текст (знак)"/>
    <w:basedOn w:val="a0"/>
    <w:link w:val="a9"/>
    <w:rsid w:val="00070F04"/>
    <w:rPr>
      <w:rFonts w:eastAsiaTheme="minorEastAsia"/>
      <w:b/>
      <w:color w:val="44546A" w:themeColor="text2"/>
      <w:sz w:val="28"/>
      <w:lang w:val="ru-RU"/>
    </w:rPr>
  </w:style>
  <w:style w:type="paragraph" w:styleId="ab">
    <w:name w:val="caption"/>
    <w:basedOn w:val="a"/>
    <w:next w:val="a"/>
    <w:uiPriority w:val="99"/>
    <w:unhideWhenUsed/>
    <w:rsid w:val="00070F04"/>
    <w:pPr>
      <w:spacing w:after="200" w:line="240" w:lineRule="auto"/>
    </w:pPr>
    <w:rPr>
      <w:i/>
      <w:iCs/>
      <w:sz w:val="18"/>
      <w:szCs w:val="18"/>
    </w:rPr>
  </w:style>
  <w:style w:type="paragraph" w:styleId="ac">
    <w:name w:val="List Paragraph"/>
    <w:basedOn w:val="a"/>
    <w:uiPriority w:val="34"/>
    <w:unhideWhenUsed/>
    <w:qFormat/>
    <w:rsid w:val="00070F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2870</Words>
  <Characters>16359</Characters>
  <Application>Microsoft Office Word</Application>
  <DocSecurity>0</DocSecurity>
  <Lines>136</Lines>
  <Paragraphs>38</Paragraphs>
  <ScaleCrop>false</ScaleCrop>
  <Company/>
  <LinksUpToDate>false</LinksUpToDate>
  <CharactersWithSpaces>19191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Акнур Ерлан</dc:creator>
  <cp:keywords/>
  <dc:description/>
  <cp:lastModifiedBy>Акнур Ерлан</cp:lastModifiedBy>
  <cp:revision>6</cp:revision>
  <dcterms:created xsi:type="dcterms:W3CDTF">2024-07-01T06:33:00Z</dcterms:created>
  <dcterms:modified xsi:type="dcterms:W3CDTF">2024-08-20T10:36:00Z</dcterms:modified>
</cp:coreProperties>
</file>